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7D61B2" w14:textId="1909E607" w:rsidR="00636EA2" w:rsidRDefault="00636EA2" w:rsidP="00636EA2">
      <w:r>
        <w:t>CAR verzekering modernisering AWZI Haarlem Waarderpolder (CAR HWP)</w:t>
      </w:r>
      <w:r w:rsidR="00751B13">
        <w:t xml:space="preserve"> </w:t>
      </w:r>
      <w:r w:rsidR="00751B13" w:rsidRPr="00636EA2">
        <w:t>DIG-17540</w:t>
      </w:r>
    </w:p>
    <w:p w14:paraId="0D865895" w14:textId="3BC67C20" w:rsidR="00636EA2" w:rsidRDefault="00636EA2" w:rsidP="00636EA2">
      <w:r>
        <w:t>ten behoeve van het hoogheemraadschap van Rijnland</w:t>
      </w:r>
    </w:p>
    <w:p w14:paraId="079EF51B" w14:textId="77777777" w:rsidR="00636EA2" w:rsidRDefault="00636EA2" w:rsidP="00636EA2"/>
    <w:p w14:paraId="774BAF53" w14:textId="396C37A1" w:rsidR="00636EA2" w:rsidRPr="00E146A8" w:rsidRDefault="00636EA2" w:rsidP="00636EA2">
      <w:pPr>
        <w:pBdr>
          <w:bottom w:val="double" w:sz="6" w:space="1" w:color="auto"/>
        </w:pBdr>
        <w:rPr>
          <w:b/>
          <w:bCs/>
          <w:sz w:val="36"/>
          <w:szCs w:val="36"/>
        </w:rPr>
      </w:pPr>
      <w:r w:rsidRPr="00E146A8">
        <w:rPr>
          <w:b/>
          <w:bCs/>
          <w:sz w:val="36"/>
          <w:szCs w:val="36"/>
        </w:rPr>
        <w:t>3e Nota van Inlichtingen Inschrijvingsfase</w:t>
      </w:r>
    </w:p>
    <w:p w14:paraId="6AB254DA" w14:textId="782DC993" w:rsidR="00636EA2" w:rsidRDefault="00636EA2" w:rsidP="00636EA2">
      <w:pPr>
        <w:pStyle w:val="Kop1"/>
      </w:pPr>
      <w:r>
        <w:t>1 Mededelingen aanbestedende dienst</w:t>
      </w:r>
    </w:p>
    <w:p w14:paraId="566E2A4D" w14:textId="3146FB21" w:rsidR="00636EA2" w:rsidRDefault="00636EA2" w:rsidP="00636EA2">
      <w:pPr>
        <w:pStyle w:val="Lijstalinea"/>
        <w:numPr>
          <w:ilvl w:val="0"/>
          <w:numId w:val="1"/>
        </w:numPr>
      </w:pPr>
      <w:r>
        <w:t>Bij de publicatie van de NvI</w:t>
      </w:r>
      <w:r w:rsidR="003D4571">
        <w:t>-01</w:t>
      </w:r>
      <w:r>
        <w:t xml:space="preserve"> is door de tabelindeling een deel van het antwoord op de vraag 4 en vraag 8 </w:t>
      </w:r>
      <w:r w:rsidR="003D4571">
        <w:t xml:space="preserve">per abuis </w:t>
      </w:r>
      <w:r>
        <w:t xml:space="preserve">weggevallen. In bijlage 01 is deze omissie hersteld en is de gehele </w:t>
      </w:r>
      <w:r w:rsidR="003D4571">
        <w:t xml:space="preserve">vragen en antwoordenlijst horende bij de NvI-01 van vrijdag 5 september 2025 </w:t>
      </w:r>
      <w:r>
        <w:t xml:space="preserve">bijgevoegd. </w:t>
      </w:r>
    </w:p>
    <w:p w14:paraId="5437618B" w14:textId="3F17DB97" w:rsidR="008126EB" w:rsidRDefault="00751B13" w:rsidP="00636EA2">
      <w:pPr>
        <w:pStyle w:val="Lijstalinea"/>
        <w:numPr>
          <w:ilvl w:val="0"/>
          <w:numId w:val="1"/>
        </w:numPr>
      </w:pPr>
      <w:r>
        <w:t xml:space="preserve">De aanbestedingsplanning </w:t>
      </w:r>
      <w:r w:rsidR="008126EB">
        <w:t xml:space="preserve">is naar aanleiding van deze Nota van Inlichtingen gewijzigd. </w:t>
      </w:r>
    </w:p>
    <w:p w14:paraId="15C6AE44" w14:textId="57B5ACE4" w:rsidR="009D0002" w:rsidRPr="00D2472E" w:rsidRDefault="009D0002" w:rsidP="00636EA2">
      <w:pPr>
        <w:pStyle w:val="Lijstalinea"/>
        <w:numPr>
          <w:ilvl w:val="0"/>
          <w:numId w:val="1"/>
        </w:numPr>
      </w:pPr>
      <w:r>
        <w:t xml:space="preserve">Referentieformulier </w:t>
      </w:r>
      <w:r w:rsidR="00751B13">
        <w:t>betreft</w:t>
      </w:r>
      <w:r w:rsidRPr="00D2472E">
        <w:t xml:space="preserve"> bijlage </w:t>
      </w:r>
      <w:r w:rsidR="00D2472E" w:rsidRPr="00D2472E">
        <w:t>5</w:t>
      </w:r>
      <w:r w:rsidRPr="00D2472E">
        <w:t xml:space="preserve"> </w:t>
      </w:r>
      <w:r w:rsidR="00D2472E" w:rsidRPr="00D2472E">
        <w:t>van de Inschrijvingsleidraad.</w:t>
      </w:r>
    </w:p>
    <w:p w14:paraId="4E10A48B" w14:textId="5B59B685" w:rsidR="00636EA2" w:rsidRDefault="00636EA2" w:rsidP="00636EA2">
      <w:pPr>
        <w:pStyle w:val="Kop1"/>
      </w:pPr>
      <w:r>
        <w:t>2 Contractuele wijzigingen</w:t>
      </w:r>
    </w:p>
    <w:p w14:paraId="2C6C61CD" w14:textId="3BDFC40B" w:rsidR="003D4571" w:rsidRDefault="003D4571" w:rsidP="003D4571">
      <w:r>
        <w:t xml:space="preserve">De inschrijvingsleidraad Diensten Europese aanbesteding volgens de openbare procedure voor Diensten CAR verzekering modernisering AWZI Haarlem Waarderpolder (CAR HWP) ten behoeve van het hoogheemraadschap van Rijnland Document nr. 25.062227 aangepast. De aanpassing betreft </w:t>
      </w:r>
      <w:r w:rsidRPr="003D4571">
        <w:rPr>
          <w:i/>
          <w:iCs/>
        </w:rPr>
        <w:t>paragraaf 4.2.1.1.1 Referentie-opdrachten</w:t>
      </w:r>
      <w:r>
        <w:t xml:space="preserve"> van de Inschrijvingsleidraad. De aangepaste paragraaf luidt: </w:t>
      </w:r>
    </w:p>
    <w:p w14:paraId="1E7D62F9" w14:textId="77777777" w:rsidR="00C22A6F" w:rsidRPr="00C22A6F" w:rsidRDefault="00C22A6F" w:rsidP="00600C4A">
      <w:pPr>
        <w:shd w:val="clear" w:color="auto" w:fill="DAE9F7" w:themeFill="text2" w:themeFillTint="1A"/>
        <w:rPr>
          <w:b/>
          <w:bCs/>
          <w:i/>
          <w:iCs/>
        </w:rPr>
      </w:pPr>
      <w:r w:rsidRPr="00C22A6F">
        <w:rPr>
          <w:b/>
          <w:bCs/>
          <w:i/>
          <w:iCs/>
        </w:rPr>
        <w:t>4.2.1.1.1 Referentieopdrachten – leidende CAR-verzekeraar</w:t>
      </w:r>
    </w:p>
    <w:p w14:paraId="4B4AAFEA" w14:textId="77777777" w:rsidR="00C22A6F" w:rsidRPr="00C22A6F" w:rsidRDefault="00C22A6F" w:rsidP="00600C4A">
      <w:pPr>
        <w:shd w:val="clear" w:color="auto" w:fill="DAE9F7" w:themeFill="text2" w:themeFillTint="1A"/>
        <w:rPr>
          <w:i/>
          <w:iCs/>
        </w:rPr>
      </w:pPr>
      <w:r w:rsidRPr="00C22A6F">
        <w:rPr>
          <w:i/>
          <w:iCs/>
        </w:rPr>
        <w:t>De Inschrijver toont zijn technische bekwaamheid aan door middel van ten minste drie (3) referentieopdrachten. Deze referentieopdrachten dienen:</w:t>
      </w:r>
    </w:p>
    <w:p w14:paraId="0B4B8C76" w14:textId="77777777" w:rsidR="00C22A6F" w:rsidRPr="00C22A6F" w:rsidRDefault="00C22A6F" w:rsidP="00600C4A">
      <w:pPr>
        <w:numPr>
          <w:ilvl w:val="0"/>
          <w:numId w:val="3"/>
        </w:numPr>
        <w:shd w:val="clear" w:color="auto" w:fill="DAE9F7" w:themeFill="text2" w:themeFillTint="1A"/>
        <w:rPr>
          <w:i/>
          <w:iCs/>
        </w:rPr>
      </w:pPr>
      <w:r w:rsidRPr="00C22A6F">
        <w:rPr>
          <w:i/>
          <w:iCs/>
        </w:rPr>
        <w:t>betrekking te hebben op CAR-verzekeringen van projecten in Nederland met een geschatte eindwaarde van ten minste EUR 100 miljoen per project;</w:t>
      </w:r>
    </w:p>
    <w:p w14:paraId="6C584648" w14:textId="77777777" w:rsidR="00C22A6F" w:rsidRPr="00C22A6F" w:rsidRDefault="00C22A6F" w:rsidP="00600C4A">
      <w:pPr>
        <w:numPr>
          <w:ilvl w:val="0"/>
          <w:numId w:val="3"/>
        </w:numPr>
        <w:shd w:val="clear" w:color="auto" w:fill="DAE9F7" w:themeFill="text2" w:themeFillTint="1A"/>
        <w:rPr>
          <w:i/>
          <w:iCs/>
        </w:rPr>
      </w:pPr>
      <w:r w:rsidRPr="00C22A6F">
        <w:rPr>
          <w:i/>
          <w:iCs/>
        </w:rPr>
        <w:t xml:space="preserve">te zijn uitgevoerd in de hoedanigheid van </w:t>
      </w:r>
      <w:r w:rsidRPr="00C22A6F">
        <w:rPr>
          <w:b/>
          <w:bCs/>
          <w:i/>
          <w:iCs/>
        </w:rPr>
        <w:t>leidend CAR-verzekeraar</w:t>
      </w:r>
      <w:r w:rsidRPr="00C22A6F">
        <w:rPr>
          <w:i/>
          <w:iCs/>
        </w:rPr>
        <w:t>;</w:t>
      </w:r>
    </w:p>
    <w:p w14:paraId="118D39EF" w14:textId="77777777" w:rsidR="00C22A6F" w:rsidRPr="00C22A6F" w:rsidRDefault="00C22A6F" w:rsidP="00600C4A">
      <w:pPr>
        <w:numPr>
          <w:ilvl w:val="0"/>
          <w:numId w:val="3"/>
        </w:numPr>
        <w:shd w:val="clear" w:color="auto" w:fill="DAE9F7" w:themeFill="text2" w:themeFillTint="1A"/>
        <w:rPr>
          <w:i/>
          <w:iCs/>
        </w:rPr>
      </w:pPr>
      <w:r w:rsidRPr="00C22A6F">
        <w:rPr>
          <w:i/>
          <w:iCs/>
        </w:rPr>
        <w:t>te zijn opgeleverd in de periode van maximaal twee (2) jaar voorafgaand aan de uiterste datum van inschrijving.</w:t>
      </w:r>
    </w:p>
    <w:p w14:paraId="71F45060" w14:textId="77777777" w:rsidR="00C22A6F" w:rsidRPr="00C22A6F" w:rsidRDefault="00C22A6F" w:rsidP="00600C4A">
      <w:pPr>
        <w:shd w:val="clear" w:color="auto" w:fill="DAE9F7" w:themeFill="text2" w:themeFillTint="1A"/>
        <w:rPr>
          <w:i/>
          <w:iCs/>
        </w:rPr>
      </w:pPr>
      <w:r w:rsidRPr="00C22A6F">
        <w:rPr>
          <w:i/>
          <w:iCs/>
        </w:rPr>
        <w:t>De Inschrijver kan slechts technische bekwaamheid inroepen voor zover hij de werkzaamheden waarop de bekwaamheid berust, daadwerkelijk zelf heeft verricht.</w:t>
      </w:r>
    </w:p>
    <w:p w14:paraId="44BC68D0" w14:textId="00DE9B88" w:rsidR="00C22A6F" w:rsidRPr="00C22A6F" w:rsidRDefault="00C22A6F" w:rsidP="00600C4A">
      <w:pPr>
        <w:shd w:val="clear" w:color="auto" w:fill="DAE9F7" w:themeFill="text2" w:themeFillTint="1A"/>
        <w:rPr>
          <w:i/>
          <w:iCs/>
        </w:rPr>
      </w:pPr>
      <w:r w:rsidRPr="00C22A6F">
        <w:rPr>
          <w:i/>
          <w:iCs/>
        </w:rPr>
        <w:t xml:space="preserve">De referentieopdrachten worden bij inschrijving aangeleverd door middel van </w:t>
      </w:r>
      <w:r w:rsidRPr="00C22A6F">
        <w:rPr>
          <w:b/>
          <w:bCs/>
          <w:i/>
          <w:iCs/>
        </w:rPr>
        <w:t>Bijlage</w:t>
      </w:r>
      <w:r w:rsidR="00D2472E" w:rsidRPr="00D2472E">
        <w:rPr>
          <w:b/>
          <w:bCs/>
          <w:i/>
          <w:iCs/>
        </w:rPr>
        <w:t xml:space="preserve"> 5</w:t>
      </w:r>
      <w:r w:rsidRPr="00C22A6F">
        <w:rPr>
          <w:i/>
          <w:iCs/>
        </w:rPr>
        <w:t>. De aanbestedende dienst behandelt de ingediende referenties vertrouwelijk en zal deze niet verstrekken aan andere inschrijvers of derden.</w:t>
      </w:r>
    </w:p>
    <w:p w14:paraId="2B03C04D" w14:textId="77777777" w:rsidR="00C22A6F" w:rsidRPr="00C22A6F" w:rsidRDefault="00C22A6F" w:rsidP="00600C4A">
      <w:pPr>
        <w:shd w:val="clear" w:color="auto" w:fill="DAE9F7" w:themeFill="text2" w:themeFillTint="1A"/>
        <w:rPr>
          <w:b/>
          <w:bCs/>
          <w:i/>
          <w:iCs/>
        </w:rPr>
      </w:pPr>
      <w:r w:rsidRPr="00C22A6F">
        <w:rPr>
          <w:b/>
          <w:bCs/>
          <w:i/>
          <w:iCs/>
        </w:rPr>
        <w:lastRenderedPageBreak/>
        <w:t>4.2.1.1.2 Prestatieverklaring / tevredenheidsverklaring</w:t>
      </w:r>
    </w:p>
    <w:p w14:paraId="49F502FE" w14:textId="77777777" w:rsidR="00C22A6F" w:rsidRPr="00C22A6F" w:rsidRDefault="00C22A6F" w:rsidP="00600C4A">
      <w:pPr>
        <w:shd w:val="clear" w:color="auto" w:fill="DAE9F7" w:themeFill="text2" w:themeFillTint="1A"/>
        <w:rPr>
          <w:i/>
          <w:iCs/>
        </w:rPr>
      </w:pPr>
      <w:r w:rsidRPr="00C22A6F">
        <w:rPr>
          <w:i/>
          <w:iCs/>
        </w:rPr>
        <w:t>Het overleggen van een prestatieverklaring (tevredenheidsverklaring) bij de referentieopdrachten is bij inschrijving niet verplicht. De aanbestedende dienst behoudt zich het recht voor om in de periode tussen het gunningsvoornemen en de definitieve gunning, indien daartoe aanleiding bestaat, een dergelijke verklaring alsnog op te vragen.</w:t>
      </w:r>
    </w:p>
    <w:p w14:paraId="5780ACE1" w14:textId="77777777" w:rsidR="00C22A6F" w:rsidRPr="00C22A6F" w:rsidRDefault="00C22A6F" w:rsidP="00600C4A">
      <w:pPr>
        <w:shd w:val="clear" w:color="auto" w:fill="DAE9F7" w:themeFill="text2" w:themeFillTint="1A"/>
        <w:rPr>
          <w:i/>
          <w:iCs/>
        </w:rPr>
      </w:pPr>
      <w:r w:rsidRPr="00C22A6F">
        <w:rPr>
          <w:i/>
          <w:iCs/>
        </w:rPr>
        <w:t>Een prestatieverklaring dient – indien opgevraagd – afkomstig te zijn van de verzekeringnemer of de bij het project betrokken verzekeringsmakelaar. Hieruit dient te blijken dat de uitgevoerde dienstverlening als leidend CAR-verzekeraar naar tevredenheid is verlopen. Tevens dient hieruit, in aanvulling op de ingediende referenties, te blijken dat is voldaan aan de eisen zoals genoemd in dit artikel.</w:t>
      </w:r>
    </w:p>
    <w:p w14:paraId="7E750F13" w14:textId="77777777" w:rsidR="00C22A6F" w:rsidRPr="00C22A6F" w:rsidRDefault="00C22A6F" w:rsidP="00600C4A">
      <w:pPr>
        <w:shd w:val="clear" w:color="auto" w:fill="DAE9F7" w:themeFill="text2" w:themeFillTint="1A"/>
        <w:rPr>
          <w:i/>
          <w:iCs/>
        </w:rPr>
      </w:pPr>
      <w:r w:rsidRPr="00C22A6F">
        <w:rPr>
          <w:i/>
          <w:iCs/>
        </w:rPr>
        <w:t>Gelet op het karakter van de verzekeringsmarkt en de specifieke aard van schadeafhandeling, is het gebruik van prestatieverklaringen niet gangbaar. De beoordeling van de kwaliteit van schadeafhandeling is doorgaans afhankelijk van polisvoorwaarden en individuele omstandigheden. Deze verklaringen maken dan ook geen integraal onderdeel uit van de geschiktheidseis bij inschrijving.</w:t>
      </w:r>
    </w:p>
    <w:p w14:paraId="2DAEC00B" w14:textId="77777777" w:rsidR="00C22A6F" w:rsidRPr="00C22A6F" w:rsidRDefault="00C22A6F" w:rsidP="00600C4A">
      <w:pPr>
        <w:shd w:val="clear" w:color="auto" w:fill="DAE9F7" w:themeFill="text2" w:themeFillTint="1A"/>
        <w:rPr>
          <w:b/>
          <w:bCs/>
          <w:i/>
          <w:iCs/>
        </w:rPr>
      </w:pPr>
      <w:r w:rsidRPr="00C22A6F">
        <w:rPr>
          <w:b/>
          <w:bCs/>
          <w:i/>
          <w:iCs/>
        </w:rPr>
        <w:t>4.2.1.1.3 Verificatie van gegevens</w:t>
      </w:r>
    </w:p>
    <w:p w14:paraId="240A235D" w14:textId="77777777" w:rsidR="00C22A6F" w:rsidRPr="00C22A6F" w:rsidRDefault="00C22A6F" w:rsidP="00600C4A">
      <w:pPr>
        <w:shd w:val="clear" w:color="auto" w:fill="DAE9F7" w:themeFill="text2" w:themeFillTint="1A"/>
        <w:rPr>
          <w:i/>
          <w:iCs/>
        </w:rPr>
      </w:pPr>
      <w:r w:rsidRPr="00C22A6F">
        <w:rPr>
          <w:i/>
          <w:iCs/>
        </w:rPr>
        <w:t>De aanbestedende dienst behoudt zich het recht voor om, zonder voorafgaande toestemming van de Inschrijver, contact op te nemen met één of meer referenten ter verificatie van de door de Inschrijver verstrekte gegevens.</w:t>
      </w:r>
    </w:p>
    <w:p w14:paraId="33FB778F" w14:textId="77777777" w:rsidR="00C22A6F" w:rsidRPr="00C22A6F" w:rsidRDefault="00C22A6F" w:rsidP="00600C4A">
      <w:pPr>
        <w:shd w:val="clear" w:color="auto" w:fill="DAE9F7" w:themeFill="text2" w:themeFillTint="1A"/>
        <w:rPr>
          <w:i/>
          <w:iCs/>
        </w:rPr>
      </w:pPr>
      <w:r w:rsidRPr="00C22A6F">
        <w:rPr>
          <w:i/>
          <w:iCs/>
        </w:rPr>
        <w:t>Indien uit deze verificatie blijkt dat de verstrekte gegevens niet correct zijn, wordt de Inschrijver geacht niet te voldoen aan de betreffende geschiktheidseis. In dat geval zal de Inschrijving terzijde worden gelegd en niet verder worden beoordeeld.</w:t>
      </w:r>
    </w:p>
    <w:p w14:paraId="54DB6CEA" w14:textId="08B0D6F0" w:rsidR="003D4571" w:rsidRPr="003D4571" w:rsidRDefault="003D4571" w:rsidP="003D4571">
      <w:r>
        <w:t xml:space="preserve"> De inschrijvingsleidraad is hierop aangepast en als bijlage </w:t>
      </w:r>
      <w:r w:rsidR="008126EB">
        <w:t>02</w:t>
      </w:r>
      <w:r w:rsidR="0036461B">
        <w:t xml:space="preserve"> aan deze nota van Inlichtingen toegevoegd</w:t>
      </w:r>
      <w:r w:rsidR="008126EB">
        <w:t xml:space="preserve">. </w:t>
      </w:r>
    </w:p>
    <w:p w14:paraId="0A765BBF" w14:textId="721220C8" w:rsidR="00636EA2" w:rsidRDefault="00636EA2" w:rsidP="00636EA2">
      <w:pPr>
        <w:pStyle w:val="Kop1"/>
      </w:pPr>
      <w:r w:rsidRPr="00636EA2">
        <w:t>3 Vragen en antwoorden</w:t>
      </w:r>
    </w:p>
    <w:tbl>
      <w:tblPr>
        <w:tblStyle w:val="Tabelraster"/>
        <w:tblW w:w="10490" w:type="dxa"/>
        <w:tblInd w:w="-572" w:type="dxa"/>
        <w:tblLayout w:type="fixed"/>
        <w:tblLook w:val="04A0" w:firstRow="1" w:lastRow="0" w:firstColumn="1" w:lastColumn="0" w:noHBand="0" w:noVBand="1"/>
      </w:tblPr>
      <w:tblGrid>
        <w:gridCol w:w="988"/>
        <w:gridCol w:w="2126"/>
        <w:gridCol w:w="3118"/>
        <w:gridCol w:w="4258"/>
      </w:tblGrid>
      <w:tr w:rsidR="00636EA2" w:rsidRPr="00636EA2" w14:paraId="5180DB28" w14:textId="77777777" w:rsidTr="00636EA2">
        <w:trPr>
          <w:trHeight w:val="277"/>
          <w:tblHeader/>
        </w:trPr>
        <w:tc>
          <w:tcPr>
            <w:tcW w:w="988" w:type="dxa"/>
            <w:tcBorders>
              <w:top w:val="single" w:sz="4" w:space="0" w:color="auto"/>
              <w:left w:val="single" w:sz="4" w:space="0" w:color="auto"/>
              <w:bottom w:val="single" w:sz="4" w:space="0" w:color="auto"/>
              <w:right w:val="single" w:sz="4" w:space="0" w:color="auto"/>
            </w:tcBorders>
            <w:shd w:val="pct20" w:color="auto" w:fill="auto"/>
            <w:hideMark/>
          </w:tcPr>
          <w:p w14:paraId="799CBC97" w14:textId="77777777" w:rsidR="00636EA2" w:rsidRPr="00636EA2" w:rsidRDefault="00636EA2" w:rsidP="00636EA2">
            <w:pPr>
              <w:tabs>
                <w:tab w:val="left" w:pos="851"/>
              </w:tabs>
              <w:spacing w:line="280" w:lineRule="exact"/>
              <w:contextualSpacing/>
              <w:outlineLvl w:val="3"/>
              <w:rPr>
                <w:rFonts w:ascii="Corbel" w:hAnsi="Corbel"/>
                <w:b/>
                <w:bCs/>
                <w:sz w:val="21"/>
                <w:szCs w:val="28"/>
              </w:rPr>
            </w:pPr>
            <w:r w:rsidRPr="00636EA2">
              <w:rPr>
                <w:rFonts w:ascii="Corbel" w:hAnsi="Corbel"/>
                <w:b/>
                <w:bCs/>
                <w:sz w:val="21"/>
                <w:szCs w:val="28"/>
              </w:rPr>
              <w:t>Volg-</w:t>
            </w:r>
          </w:p>
          <w:p w14:paraId="0CFBE079" w14:textId="77777777" w:rsidR="00636EA2" w:rsidRPr="00636EA2" w:rsidRDefault="00636EA2" w:rsidP="00636EA2">
            <w:pPr>
              <w:tabs>
                <w:tab w:val="left" w:pos="851"/>
              </w:tabs>
              <w:spacing w:line="280" w:lineRule="exact"/>
              <w:contextualSpacing/>
              <w:outlineLvl w:val="3"/>
              <w:rPr>
                <w:rFonts w:ascii="Corbel" w:hAnsi="Corbel"/>
                <w:b/>
                <w:bCs/>
                <w:sz w:val="21"/>
                <w:szCs w:val="28"/>
              </w:rPr>
            </w:pPr>
            <w:r w:rsidRPr="00636EA2">
              <w:rPr>
                <w:rFonts w:ascii="Corbel" w:hAnsi="Corbel"/>
                <w:b/>
                <w:bCs/>
                <w:sz w:val="21"/>
                <w:szCs w:val="28"/>
              </w:rPr>
              <w:t>nummer</w:t>
            </w:r>
          </w:p>
        </w:tc>
        <w:tc>
          <w:tcPr>
            <w:tcW w:w="2126" w:type="dxa"/>
            <w:tcBorders>
              <w:top w:val="single" w:sz="4" w:space="0" w:color="auto"/>
              <w:left w:val="single" w:sz="4" w:space="0" w:color="auto"/>
              <w:bottom w:val="single" w:sz="4" w:space="0" w:color="auto"/>
              <w:right w:val="single" w:sz="4" w:space="0" w:color="auto"/>
            </w:tcBorders>
            <w:shd w:val="pct20" w:color="auto" w:fill="auto"/>
            <w:hideMark/>
          </w:tcPr>
          <w:p w14:paraId="35DF3FEC" w14:textId="77777777" w:rsidR="00636EA2" w:rsidRPr="00636EA2" w:rsidRDefault="00636EA2" w:rsidP="00636EA2">
            <w:pPr>
              <w:tabs>
                <w:tab w:val="left" w:pos="851"/>
              </w:tabs>
              <w:spacing w:before="280" w:after="280" w:line="280" w:lineRule="exact"/>
              <w:contextualSpacing/>
              <w:outlineLvl w:val="3"/>
              <w:rPr>
                <w:rFonts w:ascii="Corbel" w:hAnsi="Corbel"/>
                <w:b/>
                <w:bCs/>
                <w:sz w:val="21"/>
                <w:szCs w:val="28"/>
              </w:rPr>
            </w:pPr>
            <w:r w:rsidRPr="00636EA2">
              <w:rPr>
                <w:rFonts w:ascii="Corbel" w:hAnsi="Corbel"/>
                <w:b/>
                <w:bCs/>
                <w:sz w:val="21"/>
                <w:szCs w:val="28"/>
              </w:rPr>
              <w:t>Document / Vindplaats / Onderwerp / Doel</w:t>
            </w:r>
          </w:p>
        </w:tc>
        <w:tc>
          <w:tcPr>
            <w:tcW w:w="3118" w:type="dxa"/>
            <w:tcBorders>
              <w:top w:val="single" w:sz="4" w:space="0" w:color="auto"/>
              <w:left w:val="single" w:sz="4" w:space="0" w:color="auto"/>
              <w:bottom w:val="single" w:sz="4" w:space="0" w:color="auto"/>
              <w:right w:val="single" w:sz="4" w:space="0" w:color="auto"/>
            </w:tcBorders>
            <w:shd w:val="pct20" w:color="auto" w:fill="auto"/>
            <w:hideMark/>
          </w:tcPr>
          <w:p w14:paraId="50A422E4" w14:textId="77777777" w:rsidR="00636EA2" w:rsidRPr="00636EA2" w:rsidRDefault="00636EA2" w:rsidP="00636EA2">
            <w:pPr>
              <w:tabs>
                <w:tab w:val="left" w:pos="851"/>
              </w:tabs>
              <w:spacing w:before="280" w:after="280" w:line="280" w:lineRule="exact"/>
              <w:contextualSpacing/>
              <w:outlineLvl w:val="3"/>
              <w:rPr>
                <w:rFonts w:ascii="Corbel" w:hAnsi="Corbel"/>
                <w:b/>
                <w:bCs/>
                <w:sz w:val="21"/>
                <w:szCs w:val="28"/>
              </w:rPr>
            </w:pPr>
            <w:r w:rsidRPr="00636EA2">
              <w:rPr>
                <w:rFonts w:ascii="Corbel" w:hAnsi="Corbel"/>
                <w:b/>
                <w:bCs/>
                <w:sz w:val="21"/>
                <w:szCs w:val="28"/>
              </w:rPr>
              <w:t>Vraag</w:t>
            </w:r>
          </w:p>
        </w:tc>
        <w:tc>
          <w:tcPr>
            <w:tcW w:w="4258" w:type="dxa"/>
            <w:tcBorders>
              <w:top w:val="single" w:sz="4" w:space="0" w:color="auto"/>
              <w:left w:val="single" w:sz="4" w:space="0" w:color="auto"/>
              <w:bottom w:val="single" w:sz="4" w:space="0" w:color="auto"/>
              <w:right w:val="single" w:sz="4" w:space="0" w:color="auto"/>
            </w:tcBorders>
            <w:shd w:val="pct20" w:color="auto" w:fill="auto"/>
            <w:hideMark/>
          </w:tcPr>
          <w:p w14:paraId="43DB5CB8" w14:textId="77777777" w:rsidR="00636EA2" w:rsidRPr="00636EA2" w:rsidRDefault="00636EA2" w:rsidP="00636EA2">
            <w:pPr>
              <w:tabs>
                <w:tab w:val="left" w:pos="851"/>
              </w:tabs>
              <w:spacing w:before="280" w:after="280" w:line="280" w:lineRule="exact"/>
              <w:contextualSpacing/>
              <w:outlineLvl w:val="3"/>
              <w:rPr>
                <w:rFonts w:ascii="Corbel" w:hAnsi="Corbel"/>
                <w:b/>
                <w:bCs/>
                <w:sz w:val="21"/>
                <w:szCs w:val="28"/>
              </w:rPr>
            </w:pPr>
            <w:r w:rsidRPr="00636EA2">
              <w:rPr>
                <w:rFonts w:ascii="Corbel" w:hAnsi="Corbel"/>
                <w:b/>
                <w:bCs/>
                <w:sz w:val="21"/>
                <w:szCs w:val="28"/>
              </w:rPr>
              <w:t>Antwoord</w:t>
            </w:r>
          </w:p>
        </w:tc>
      </w:tr>
      <w:tr w:rsidR="00636EA2" w:rsidRPr="00636EA2" w14:paraId="7BE5B2ED" w14:textId="77777777" w:rsidTr="00C22A6F">
        <w:trPr>
          <w:trHeight w:val="2700"/>
        </w:trPr>
        <w:tc>
          <w:tcPr>
            <w:tcW w:w="988" w:type="dxa"/>
            <w:tcBorders>
              <w:top w:val="single" w:sz="4" w:space="0" w:color="auto"/>
              <w:left w:val="single" w:sz="4" w:space="0" w:color="auto"/>
              <w:bottom w:val="single" w:sz="4" w:space="0" w:color="auto"/>
              <w:right w:val="single" w:sz="4" w:space="0" w:color="auto"/>
            </w:tcBorders>
          </w:tcPr>
          <w:p w14:paraId="57645EFA" w14:textId="1BB658E4" w:rsidR="00636EA2" w:rsidRPr="00636EA2" w:rsidRDefault="009D0002" w:rsidP="00636EA2">
            <w:pPr>
              <w:tabs>
                <w:tab w:val="left" w:pos="851"/>
              </w:tabs>
              <w:spacing w:line="280" w:lineRule="exact"/>
              <w:contextualSpacing/>
              <w:outlineLvl w:val="3"/>
              <w:rPr>
                <w:rFonts w:ascii="Corbel" w:hAnsi="Corbel"/>
                <w:bCs/>
                <w:sz w:val="21"/>
                <w:szCs w:val="28"/>
              </w:rPr>
            </w:pPr>
            <w:r>
              <w:rPr>
                <w:rFonts w:ascii="Corbel" w:hAnsi="Corbel"/>
                <w:bCs/>
                <w:sz w:val="21"/>
                <w:szCs w:val="28"/>
              </w:rPr>
              <w:t>1</w:t>
            </w:r>
          </w:p>
        </w:tc>
        <w:tc>
          <w:tcPr>
            <w:tcW w:w="2126" w:type="dxa"/>
            <w:tcBorders>
              <w:top w:val="single" w:sz="4" w:space="0" w:color="auto"/>
              <w:left w:val="single" w:sz="4" w:space="0" w:color="auto"/>
              <w:bottom w:val="single" w:sz="4" w:space="0" w:color="auto"/>
              <w:right w:val="single" w:sz="4" w:space="0" w:color="auto"/>
            </w:tcBorders>
          </w:tcPr>
          <w:p w14:paraId="409C87AB" w14:textId="2480DD30" w:rsidR="00636EA2" w:rsidRPr="00636EA2" w:rsidRDefault="009D0002" w:rsidP="00636EA2">
            <w:pPr>
              <w:tabs>
                <w:tab w:val="left" w:pos="708"/>
                <w:tab w:val="left" w:pos="851"/>
              </w:tabs>
              <w:contextualSpacing/>
              <w:rPr>
                <w:rFonts w:ascii="Calibri" w:hAnsi="Calibri" w:cs="Calibri"/>
                <w:color w:val="000000"/>
                <w:sz w:val="22"/>
                <w:szCs w:val="22"/>
              </w:rPr>
            </w:pPr>
            <w:r>
              <w:rPr>
                <w:rFonts w:ascii="Calibri" w:hAnsi="Calibri" w:cs="Calibri"/>
                <w:color w:val="000000"/>
                <w:sz w:val="22"/>
                <w:szCs w:val="22"/>
              </w:rPr>
              <w:t>Inschrijvingsleidraad par. 4.2.1.1.1</w:t>
            </w:r>
          </w:p>
        </w:tc>
        <w:tc>
          <w:tcPr>
            <w:tcW w:w="3118" w:type="dxa"/>
            <w:tcBorders>
              <w:top w:val="single" w:sz="4" w:space="0" w:color="auto"/>
              <w:left w:val="single" w:sz="4" w:space="0" w:color="auto"/>
              <w:bottom w:val="single" w:sz="4" w:space="0" w:color="auto"/>
              <w:right w:val="single" w:sz="4" w:space="0" w:color="auto"/>
            </w:tcBorders>
          </w:tcPr>
          <w:p w14:paraId="500D85B5" w14:textId="2EA65C9A" w:rsidR="00636EA2" w:rsidRPr="00636EA2" w:rsidRDefault="00191707" w:rsidP="00636EA2">
            <w:pPr>
              <w:tabs>
                <w:tab w:val="left" w:pos="851"/>
              </w:tabs>
              <w:contextualSpacing/>
              <w:outlineLvl w:val="3"/>
              <w:rPr>
                <w:rFonts w:ascii="Corbel" w:hAnsi="Corbel"/>
                <w:bCs/>
                <w:sz w:val="21"/>
                <w:szCs w:val="28"/>
              </w:rPr>
            </w:pPr>
            <w:r>
              <w:rPr>
                <w:rFonts w:ascii="Corbel" w:hAnsi="Corbel"/>
                <w:bCs/>
                <w:sz w:val="21"/>
                <w:szCs w:val="28"/>
              </w:rPr>
              <w:t xml:space="preserve">In </w:t>
            </w:r>
            <w:r w:rsidR="00C62412">
              <w:rPr>
                <w:rFonts w:ascii="Corbel" w:hAnsi="Corbel"/>
                <w:bCs/>
                <w:sz w:val="21"/>
                <w:szCs w:val="28"/>
              </w:rPr>
              <w:t xml:space="preserve">artikel 4.2.1.1.1 wordt voor de referentieopdrachten verwezen naar </w:t>
            </w:r>
            <w:r w:rsidR="009D0002">
              <w:rPr>
                <w:rFonts w:ascii="Corbel" w:hAnsi="Corbel"/>
                <w:bCs/>
                <w:sz w:val="21"/>
                <w:szCs w:val="28"/>
              </w:rPr>
              <w:t>Bijlage 6</w:t>
            </w:r>
            <w:r w:rsidR="00C62412">
              <w:rPr>
                <w:rFonts w:ascii="Corbel" w:hAnsi="Corbel"/>
                <w:bCs/>
                <w:sz w:val="21"/>
                <w:szCs w:val="28"/>
              </w:rPr>
              <w:t xml:space="preserve">. Deze heeft echter </w:t>
            </w:r>
            <w:r w:rsidR="009D0002">
              <w:rPr>
                <w:rFonts w:ascii="Corbel" w:hAnsi="Corbel"/>
                <w:bCs/>
                <w:sz w:val="21"/>
                <w:szCs w:val="28"/>
              </w:rPr>
              <w:t xml:space="preserve"> betrekking op </w:t>
            </w:r>
            <w:r w:rsidR="009D0002" w:rsidRPr="009D0002">
              <w:rPr>
                <w:rFonts w:ascii="Corbel" w:hAnsi="Corbel"/>
                <w:bCs/>
                <w:sz w:val="21"/>
                <w:szCs w:val="28"/>
              </w:rPr>
              <w:t>“Verklaring inzake VERORDENING (EU) 2022/576”</w:t>
            </w:r>
            <w:r w:rsidR="009D0002">
              <w:rPr>
                <w:rFonts w:ascii="Corbel" w:hAnsi="Corbel"/>
                <w:bCs/>
                <w:sz w:val="21"/>
                <w:szCs w:val="28"/>
              </w:rPr>
              <w:t xml:space="preserve">. </w:t>
            </w:r>
            <w:r w:rsidR="005555B2">
              <w:rPr>
                <w:rFonts w:ascii="Corbel" w:hAnsi="Corbel"/>
                <w:bCs/>
                <w:sz w:val="21"/>
                <w:szCs w:val="28"/>
              </w:rPr>
              <w:t>Kunt u dat aanpassen?</w:t>
            </w:r>
          </w:p>
        </w:tc>
        <w:tc>
          <w:tcPr>
            <w:tcW w:w="4258" w:type="dxa"/>
            <w:tcBorders>
              <w:top w:val="single" w:sz="4" w:space="0" w:color="auto"/>
              <w:left w:val="single" w:sz="4" w:space="0" w:color="auto"/>
              <w:bottom w:val="single" w:sz="4" w:space="0" w:color="auto"/>
              <w:right w:val="single" w:sz="4" w:space="0" w:color="auto"/>
            </w:tcBorders>
          </w:tcPr>
          <w:p w14:paraId="52ECA8A2" w14:textId="6984423C" w:rsidR="00636EA2" w:rsidRDefault="00D2472E" w:rsidP="00636EA2">
            <w:pPr>
              <w:tabs>
                <w:tab w:val="left" w:pos="851"/>
              </w:tabs>
              <w:spacing w:before="280" w:after="280" w:line="280" w:lineRule="exact"/>
              <w:contextualSpacing/>
              <w:outlineLvl w:val="3"/>
              <w:rPr>
                <w:rFonts w:ascii="Corbel" w:hAnsi="Corbel"/>
                <w:bCs/>
                <w:sz w:val="21"/>
                <w:szCs w:val="28"/>
              </w:rPr>
            </w:pPr>
            <w:r>
              <w:rPr>
                <w:rFonts w:ascii="Corbel" w:hAnsi="Corbel"/>
                <w:bCs/>
                <w:sz w:val="21"/>
                <w:szCs w:val="28"/>
              </w:rPr>
              <w:t xml:space="preserve">U dient hiervoor </w:t>
            </w:r>
            <w:r w:rsidRPr="00191707">
              <w:rPr>
                <w:rFonts w:ascii="Corbel" w:hAnsi="Corbel"/>
                <w:bCs/>
                <w:i/>
                <w:iCs/>
                <w:sz w:val="21"/>
                <w:szCs w:val="28"/>
              </w:rPr>
              <w:t xml:space="preserve">Bijlage-05 </w:t>
            </w:r>
            <w:r w:rsidR="00191707" w:rsidRPr="00191707">
              <w:rPr>
                <w:rFonts w:ascii="Corbel" w:hAnsi="Corbel"/>
                <w:bCs/>
                <w:i/>
                <w:iCs/>
                <w:sz w:val="21"/>
                <w:szCs w:val="28"/>
              </w:rPr>
              <w:t>Model referentieopdrachten</w:t>
            </w:r>
            <w:r w:rsidR="00191707">
              <w:rPr>
                <w:rFonts w:ascii="Corbel" w:hAnsi="Corbel"/>
                <w:bCs/>
                <w:sz w:val="21"/>
                <w:szCs w:val="28"/>
              </w:rPr>
              <w:t xml:space="preserve"> </w:t>
            </w:r>
            <w:r>
              <w:rPr>
                <w:rFonts w:ascii="Corbel" w:hAnsi="Corbel"/>
                <w:bCs/>
                <w:sz w:val="21"/>
                <w:szCs w:val="28"/>
              </w:rPr>
              <w:t>te gebruiken van de Inschrijvingsleidraad</w:t>
            </w:r>
            <w:r w:rsidR="00A35317">
              <w:rPr>
                <w:rFonts w:ascii="Corbel" w:hAnsi="Corbel"/>
                <w:bCs/>
                <w:sz w:val="21"/>
                <w:szCs w:val="28"/>
              </w:rPr>
              <w:t xml:space="preserve">. </w:t>
            </w:r>
            <w:r w:rsidR="009D0002">
              <w:rPr>
                <w:rFonts w:ascii="Corbel" w:hAnsi="Corbel"/>
                <w:bCs/>
                <w:sz w:val="21"/>
                <w:szCs w:val="28"/>
              </w:rPr>
              <w:t xml:space="preserve">.  </w:t>
            </w:r>
          </w:p>
          <w:p w14:paraId="31CF61BF" w14:textId="17C53D6F" w:rsidR="00D67AE3" w:rsidRPr="00636EA2" w:rsidRDefault="00D67AE3" w:rsidP="00636EA2">
            <w:pPr>
              <w:tabs>
                <w:tab w:val="left" w:pos="851"/>
              </w:tabs>
              <w:spacing w:before="280" w:after="280" w:line="280" w:lineRule="exact"/>
              <w:contextualSpacing/>
              <w:outlineLvl w:val="3"/>
              <w:rPr>
                <w:rFonts w:ascii="Corbel" w:hAnsi="Corbel"/>
                <w:bCs/>
                <w:sz w:val="21"/>
                <w:szCs w:val="28"/>
              </w:rPr>
            </w:pPr>
            <w:r w:rsidRPr="00D67AE3">
              <w:rPr>
                <w:rFonts w:ascii="Corbel" w:hAnsi="Corbel"/>
                <w:bCs/>
                <w:sz w:val="21"/>
                <w:szCs w:val="28"/>
              </w:rPr>
              <w:t>Artikel 4.2.1.1.1 is hierop aangepast.</w:t>
            </w:r>
          </w:p>
        </w:tc>
      </w:tr>
      <w:tr w:rsidR="009D0002" w:rsidRPr="00636EA2" w14:paraId="080DC9F2" w14:textId="77777777" w:rsidTr="00C22A6F">
        <w:trPr>
          <w:trHeight w:val="2700"/>
        </w:trPr>
        <w:tc>
          <w:tcPr>
            <w:tcW w:w="988" w:type="dxa"/>
            <w:tcBorders>
              <w:top w:val="single" w:sz="4" w:space="0" w:color="auto"/>
              <w:left w:val="single" w:sz="4" w:space="0" w:color="auto"/>
              <w:bottom w:val="single" w:sz="4" w:space="0" w:color="auto"/>
              <w:right w:val="single" w:sz="4" w:space="0" w:color="auto"/>
            </w:tcBorders>
          </w:tcPr>
          <w:p w14:paraId="0F97695D" w14:textId="1408FC78" w:rsidR="009D0002" w:rsidRDefault="009D0002" w:rsidP="00636EA2">
            <w:pPr>
              <w:tabs>
                <w:tab w:val="left" w:pos="851"/>
              </w:tabs>
              <w:spacing w:line="280" w:lineRule="exact"/>
              <w:contextualSpacing/>
              <w:outlineLvl w:val="3"/>
              <w:rPr>
                <w:rFonts w:ascii="Corbel" w:hAnsi="Corbel"/>
                <w:bCs/>
                <w:sz w:val="21"/>
                <w:szCs w:val="28"/>
              </w:rPr>
            </w:pPr>
            <w:r>
              <w:rPr>
                <w:rFonts w:ascii="Corbel" w:hAnsi="Corbel"/>
                <w:bCs/>
                <w:sz w:val="21"/>
                <w:szCs w:val="28"/>
              </w:rPr>
              <w:lastRenderedPageBreak/>
              <w:t>2</w:t>
            </w:r>
          </w:p>
        </w:tc>
        <w:tc>
          <w:tcPr>
            <w:tcW w:w="2126" w:type="dxa"/>
            <w:tcBorders>
              <w:top w:val="single" w:sz="4" w:space="0" w:color="auto"/>
              <w:left w:val="single" w:sz="4" w:space="0" w:color="auto"/>
              <w:bottom w:val="single" w:sz="4" w:space="0" w:color="auto"/>
              <w:right w:val="single" w:sz="4" w:space="0" w:color="auto"/>
            </w:tcBorders>
          </w:tcPr>
          <w:p w14:paraId="3EB1DED1" w14:textId="142AF689" w:rsidR="009D0002" w:rsidRDefault="009D0002" w:rsidP="00636EA2">
            <w:pPr>
              <w:tabs>
                <w:tab w:val="left" w:pos="708"/>
                <w:tab w:val="left" w:pos="851"/>
              </w:tabs>
              <w:contextualSpacing/>
              <w:rPr>
                <w:rFonts w:ascii="Calibri" w:hAnsi="Calibri" w:cs="Calibri"/>
                <w:color w:val="000000"/>
                <w:sz w:val="22"/>
                <w:szCs w:val="22"/>
              </w:rPr>
            </w:pPr>
            <w:r w:rsidRPr="009D0002">
              <w:rPr>
                <w:rFonts w:ascii="Calibri" w:hAnsi="Calibri" w:cs="Calibri"/>
                <w:color w:val="000000"/>
                <w:sz w:val="22"/>
                <w:szCs w:val="22"/>
              </w:rPr>
              <w:t>Inschrijvingsleidraad par. 4.2.1.1.1</w:t>
            </w:r>
          </w:p>
        </w:tc>
        <w:tc>
          <w:tcPr>
            <w:tcW w:w="3118" w:type="dxa"/>
            <w:tcBorders>
              <w:top w:val="single" w:sz="4" w:space="0" w:color="auto"/>
              <w:left w:val="single" w:sz="4" w:space="0" w:color="auto"/>
              <w:bottom w:val="single" w:sz="4" w:space="0" w:color="auto"/>
              <w:right w:val="single" w:sz="4" w:space="0" w:color="auto"/>
            </w:tcBorders>
          </w:tcPr>
          <w:p w14:paraId="48BDBD16" w14:textId="75694738" w:rsidR="009D0002" w:rsidRDefault="009D0002" w:rsidP="00636EA2">
            <w:pPr>
              <w:tabs>
                <w:tab w:val="left" w:pos="851"/>
              </w:tabs>
              <w:contextualSpacing/>
              <w:outlineLvl w:val="3"/>
              <w:rPr>
                <w:rFonts w:ascii="Corbel" w:hAnsi="Corbel"/>
                <w:bCs/>
                <w:sz w:val="21"/>
                <w:szCs w:val="28"/>
              </w:rPr>
            </w:pPr>
            <w:r>
              <w:rPr>
                <w:rFonts w:ascii="Corbel" w:hAnsi="Corbel"/>
                <w:bCs/>
                <w:sz w:val="21"/>
                <w:szCs w:val="28"/>
              </w:rPr>
              <w:t xml:space="preserve">Het is in het kader van geheimhouding niet gebruikelijk referenties van verzekerde projecten te delen. Hoe gaat aanbestedende dienst hiermee om? </w:t>
            </w:r>
          </w:p>
        </w:tc>
        <w:tc>
          <w:tcPr>
            <w:tcW w:w="4258" w:type="dxa"/>
            <w:tcBorders>
              <w:top w:val="single" w:sz="4" w:space="0" w:color="auto"/>
              <w:left w:val="single" w:sz="4" w:space="0" w:color="auto"/>
              <w:bottom w:val="single" w:sz="4" w:space="0" w:color="auto"/>
              <w:right w:val="single" w:sz="4" w:space="0" w:color="auto"/>
            </w:tcBorders>
          </w:tcPr>
          <w:p w14:paraId="580DDBF9" w14:textId="77777777" w:rsidR="009D0002" w:rsidRDefault="009D0002" w:rsidP="00636EA2">
            <w:pPr>
              <w:tabs>
                <w:tab w:val="left" w:pos="851"/>
              </w:tabs>
              <w:spacing w:before="280" w:after="280" w:line="280" w:lineRule="exact"/>
              <w:contextualSpacing/>
              <w:outlineLvl w:val="3"/>
              <w:rPr>
                <w:rFonts w:ascii="Corbel" w:hAnsi="Corbel"/>
                <w:bCs/>
                <w:sz w:val="21"/>
                <w:szCs w:val="28"/>
              </w:rPr>
            </w:pPr>
            <w:r w:rsidRPr="009D0002">
              <w:rPr>
                <w:rFonts w:ascii="Corbel" w:hAnsi="Corbel"/>
                <w:bCs/>
                <w:sz w:val="21"/>
                <w:szCs w:val="28"/>
              </w:rPr>
              <w:t>De aanbestedende dienst behandelt de ingediende referenties vertrouwelijk en zal deze niet verstrekken aan andere inschrijvers of derden.</w:t>
            </w:r>
          </w:p>
          <w:p w14:paraId="261FA997" w14:textId="31ED0E32" w:rsidR="00D67AE3" w:rsidRPr="00D67AE3" w:rsidRDefault="00D67AE3" w:rsidP="00D67AE3">
            <w:pPr>
              <w:tabs>
                <w:tab w:val="left" w:pos="851"/>
              </w:tabs>
              <w:spacing w:before="280" w:after="280" w:line="280" w:lineRule="exact"/>
              <w:outlineLvl w:val="3"/>
              <w:rPr>
                <w:rFonts w:ascii="Corbel" w:hAnsi="Corbel"/>
                <w:bCs/>
                <w:sz w:val="21"/>
                <w:szCs w:val="28"/>
              </w:rPr>
            </w:pPr>
            <w:r w:rsidRPr="00D67AE3">
              <w:rPr>
                <w:rFonts w:ascii="Corbel" w:hAnsi="Corbel"/>
                <w:bCs/>
                <w:sz w:val="21"/>
                <w:szCs w:val="28"/>
              </w:rPr>
              <w:t>De prestatieverklaring is niet verplicht bij inschrijving en is daarom  geen integraal onderdeel van de geschiktheidseis bij inschrijving.</w:t>
            </w:r>
            <w:r>
              <w:rPr>
                <w:rFonts w:ascii="Corbel" w:hAnsi="Corbel"/>
                <w:bCs/>
                <w:sz w:val="21"/>
                <w:szCs w:val="28"/>
              </w:rPr>
              <w:br/>
              <w:t xml:space="preserve">Verificatie van de referentie vindt plaats bij aanleiding. </w:t>
            </w:r>
          </w:p>
          <w:p w14:paraId="320BC192" w14:textId="342C662B" w:rsidR="00D67AE3" w:rsidRPr="00D67AE3" w:rsidRDefault="00D67AE3" w:rsidP="00D67AE3">
            <w:pPr>
              <w:tabs>
                <w:tab w:val="left" w:pos="851"/>
              </w:tabs>
              <w:spacing w:before="280" w:after="280" w:line="280" w:lineRule="exact"/>
              <w:outlineLvl w:val="3"/>
              <w:rPr>
                <w:rFonts w:ascii="Corbel" w:hAnsi="Corbel"/>
                <w:bCs/>
                <w:sz w:val="21"/>
                <w:szCs w:val="28"/>
              </w:rPr>
            </w:pPr>
            <w:r w:rsidRPr="00D67AE3">
              <w:rPr>
                <w:rFonts w:ascii="Corbel" w:hAnsi="Corbel"/>
                <w:bCs/>
                <w:sz w:val="21"/>
                <w:szCs w:val="28"/>
              </w:rPr>
              <w:t>Artikel 4.2.1.1.1 is hierop aangepast.</w:t>
            </w:r>
          </w:p>
        </w:tc>
      </w:tr>
    </w:tbl>
    <w:p w14:paraId="6E729DE8" w14:textId="77777777" w:rsidR="00636EA2" w:rsidRDefault="00636EA2" w:rsidP="00636EA2"/>
    <w:p w14:paraId="28E76325" w14:textId="0FEF27C1" w:rsidR="00636EA2" w:rsidRDefault="00636EA2" w:rsidP="00636EA2">
      <w:pPr>
        <w:pStyle w:val="Kop1"/>
      </w:pPr>
      <w:r w:rsidRPr="00636EA2">
        <w:t>4 Bijlagen</w:t>
      </w:r>
    </w:p>
    <w:p w14:paraId="1C2555DE" w14:textId="317537DF" w:rsidR="008126EB" w:rsidRDefault="008126EB" w:rsidP="003D4571">
      <w:pPr>
        <w:pStyle w:val="Lijstalinea"/>
        <w:numPr>
          <w:ilvl w:val="0"/>
          <w:numId w:val="2"/>
        </w:numPr>
      </w:pPr>
      <w:r>
        <w:t>Vragen en antwoorden N</w:t>
      </w:r>
      <w:r w:rsidR="00A22617">
        <w:t xml:space="preserve">VI </w:t>
      </w:r>
      <w:r>
        <w:t>01</w:t>
      </w:r>
      <w:r w:rsidR="00A22617">
        <w:t>v2</w:t>
      </w:r>
    </w:p>
    <w:p w14:paraId="4AC9C501" w14:textId="03326C0A" w:rsidR="008126EB" w:rsidRDefault="008126EB" w:rsidP="003D4571">
      <w:pPr>
        <w:pStyle w:val="Lijstalinea"/>
        <w:numPr>
          <w:ilvl w:val="0"/>
          <w:numId w:val="2"/>
        </w:numPr>
      </w:pPr>
      <w:r>
        <w:t>Inschrijvingsleidraad</w:t>
      </w:r>
    </w:p>
    <w:p w14:paraId="315827E8" w14:textId="3F3B3AEA" w:rsidR="009D0002" w:rsidRPr="005555B2" w:rsidRDefault="009D0002" w:rsidP="005555B2">
      <w:pPr>
        <w:rPr>
          <w:highlight w:val="yellow"/>
        </w:rPr>
      </w:pPr>
    </w:p>
    <w:sectPr w:rsidR="009D0002" w:rsidRPr="005555B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rbel">
    <w:panose1 w:val="020B0503020204020204"/>
    <w:charset w:val="00"/>
    <w:family w:val="swiss"/>
    <w:pitch w:val="variable"/>
    <w:sig w:usb0="A00002EF" w:usb1="4000A44B"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465C50"/>
    <w:multiLevelType w:val="hybridMultilevel"/>
    <w:tmpl w:val="539C0D70"/>
    <w:lvl w:ilvl="0" w:tplc="539E4F16">
      <w:start w:val="1"/>
      <w:numFmt w:val="bullet"/>
      <w:lvlText w:val="-"/>
      <w:lvlJc w:val="left"/>
      <w:pPr>
        <w:ind w:left="720" w:hanging="360"/>
      </w:pPr>
      <w:rPr>
        <w:rFonts w:ascii="Corbel" w:eastAsia="Times New Roman" w:hAnsi="Corbe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21CB12CD"/>
    <w:multiLevelType w:val="hybridMultilevel"/>
    <w:tmpl w:val="5DCCBA6C"/>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223D497C"/>
    <w:multiLevelType w:val="hybridMultilevel"/>
    <w:tmpl w:val="7EC23D1E"/>
    <w:lvl w:ilvl="0" w:tplc="338019FE">
      <w:start w:val="1"/>
      <w:numFmt w:val="bullet"/>
      <w:lvlText w:val="-"/>
      <w:lvlJc w:val="left"/>
      <w:pPr>
        <w:ind w:left="720" w:hanging="360"/>
      </w:pPr>
      <w:rPr>
        <w:rFonts w:ascii="Corbel" w:eastAsia="Times New Roman" w:hAnsi="Corbe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2B836B39"/>
    <w:multiLevelType w:val="hybridMultilevel"/>
    <w:tmpl w:val="5C6AC612"/>
    <w:lvl w:ilvl="0" w:tplc="073A927E">
      <w:start w:val="1"/>
      <w:numFmt w:val="decimalZero"/>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6E27132E"/>
    <w:multiLevelType w:val="multilevel"/>
    <w:tmpl w:val="0472D1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48659942">
    <w:abstractNumId w:val="1"/>
  </w:num>
  <w:num w:numId="2" w16cid:durableId="1070620491">
    <w:abstractNumId w:val="3"/>
  </w:num>
  <w:num w:numId="3" w16cid:durableId="2044089408">
    <w:abstractNumId w:val="4"/>
  </w:num>
  <w:num w:numId="4" w16cid:durableId="990911917">
    <w:abstractNumId w:val="0"/>
  </w:num>
  <w:num w:numId="5" w16cid:durableId="11522292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6EA2"/>
    <w:rsid w:val="00191707"/>
    <w:rsid w:val="00352792"/>
    <w:rsid w:val="0036461B"/>
    <w:rsid w:val="003D4571"/>
    <w:rsid w:val="005555B2"/>
    <w:rsid w:val="00600C4A"/>
    <w:rsid w:val="00636EA2"/>
    <w:rsid w:val="006F1BBC"/>
    <w:rsid w:val="00751B13"/>
    <w:rsid w:val="008126EB"/>
    <w:rsid w:val="009617B3"/>
    <w:rsid w:val="009D0002"/>
    <w:rsid w:val="00A22617"/>
    <w:rsid w:val="00A35317"/>
    <w:rsid w:val="00C22A6F"/>
    <w:rsid w:val="00C62412"/>
    <w:rsid w:val="00D2472E"/>
    <w:rsid w:val="00D67AE3"/>
    <w:rsid w:val="00E146A8"/>
    <w:rsid w:val="00F23AAE"/>
    <w:rsid w:val="00F55AD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7E1952"/>
  <w15:chartTrackingRefBased/>
  <w15:docId w15:val="{1D581AD7-49EA-43EE-867D-FDD2BE7548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nl-N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1">
    <w:name w:val="heading 1"/>
    <w:basedOn w:val="Standaard"/>
    <w:next w:val="Standaard"/>
    <w:link w:val="Kop1Char"/>
    <w:uiPriority w:val="9"/>
    <w:qFormat/>
    <w:rsid w:val="00636EA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Kop2">
    <w:name w:val="heading 2"/>
    <w:basedOn w:val="Standaard"/>
    <w:next w:val="Standaard"/>
    <w:link w:val="Kop2Char"/>
    <w:uiPriority w:val="9"/>
    <w:semiHidden/>
    <w:unhideWhenUsed/>
    <w:qFormat/>
    <w:rsid w:val="00636EA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Kop3">
    <w:name w:val="heading 3"/>
    <w:basedOn w:val="Standaard"/>
    <w:next w:val="Standaard"/>
    <w:link w:val="Kop3Char"/>
    <w:uiPriority w:val="9"/>
    <w:semiHidden/>
    <w:unhideWhenUsed/>
    <w:qFormat/>
    <w:rsid w:val="00636EA2"/>
    <w:pPr>
      <w:keepNext/>
      <w:keepLines/>
      <w:spacing w:before="160" w:after="80"/>
      <w:outlineLvl w:val="2"/>
    </w:pPr>
    <w:rPr>
      <w:rFonts w:eastAsiaTheme="majorEastAsia" w:cstheme="majorBidi"/>
      <w:color w:val="0F4761" w:themeColor="accent1" w:themeShade="BF"/>
      <w:sz w:val="28"/>
      <w:szCs w:val="28"/>
    </w:rPr>
  </w:style>
  <w:style w:type="paragraph" w:styleId="Kop4">
    <w:name w:val="heading 4"/>
    <w:basedOn w:val="Standaard"/>
    <w:next w:val="Standaard"/>
    <w:link w:val="Kop4Char"/>
    <w:uiPriority w:val="9"/>
    <w:semiHidden/>
    <w:unhideWhenUsed/>
    <w:qFormat/>
    <w:rsid w:val="00636EA2"/>
    <w:pPr>
      <w:keepNext/>
      <w:keepLines/>
      <w:spacing w:before="80" w:after="40"/>
      <w:outlineLvl w:val="3"/>
    </w:pPr>
    <w:rPr>
      <w:rFonts w:eastAsiaTheme="majorEastAsia" w:cstheme="majorBidi"/>
      <w:i/>
      <w:iCs/>
      <w:color w:val="0F4761" w:themeColor="accent1" w:themeShade="BF"/>
    </w:rPr>
  </w:style>
  <w:style w:type="paragraph" w:styleId="Kop5">
    <w:name w:val="heading 5"/>
    <w:basedOn w:val="Standaard"/>
    <w:next w:val="Standaard"/>
    <w:link w:val="Kop5Char"/>
    <w:uiPriority w:val="9"/>
    <w:semiHidden/>
    <w:unhideWhenUsed/>
    <w:qFormat/>
    <w:rsid w:val="00636EA2"/>
    <w:pPr>
      <w:keepNext/>
      <w:keepLines/>
      <w:spacing w:before="80" w:after="40"/>
      <w:outlineLvl w:val="4"/>
    </w:pPr>
    <w:rPr>
      <w:rFonts w:eastAsiaTheme="majorEastAsia" w:cstheme="majorBidi"/>
      <w:color w:val="0F4761" w:themeColor="accent1" w:themeShade="BF"/>
    </w:rPr>
  </w:style>
  <w:style w:type="paragraph" w:styleId="Kop6">
    <w:name w:val="heading 6"/>
    <w:basedOn w:val="Standaard"/>
    <w:next w:val="Standaard"/>
    <w:link w:val="Kop6Char"/>
    <w:uiPriority w:val="9"/>
    <w:semiHidden/>
    <w:unhideWhenUsed/>
    <w:qFormat/>
    <w:rsid w:val="00636EA2"/>
    <w:pPr>
      <w:keepNext/>
      <w:keepLines/>
      <w:spacing w:before="40" w:after="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unhideWhenUsed/>
    <w:qFormat/>
    <w:rsid w:val="00636EA2"/>
    <w:pPr>
      <w:keepNext/>
      <w:keepLines/>
      <w:spacing w:before="40" w:after="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unhideWhenUsed/>
    <w:qFormat/>
    <w:rsid w:val="00636EA2"/>
    <w:pPr>
      <w:keepNext/>
      <w:keepLines/>
      <w:spacing w:after="0"/>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unhideWhenUsed/>
    <w:qFormat/>
    <w:rsid w:val="00636EA2"/>
    <w:pPr>
      <w:keepNext/>
      <w:keepLines/>
      <w:spacing w:after="0"/>
      <w:outlineLvl w:val="8"/>
    </w:pPr>
    <w:rPr>
      <w:rFonts w:eastAsiaTheme="majorEastAsia" w:cstheme="majorBidi"/>
      <w:color w:val="272727" w:themeColor="text1" w:themeTint="D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636EA2"/>
    <w:rPr>
      <w:rFonts w:asciiTheme="majorHAnsi" w:eastAsiaTheme="majorEastAsia" w:hAnsiTheme="majorHAnsi" w:cstheme="majorBidi"/>
      <w:color w:val="0F4761" w:themeColor="accent1" w:themeShade="BF"/>
      <w:sz w:val="40"/>
      <w:szCs w:val="40"/>
    </w:rPr>
  </w:style>
  <w:style w:type="character" w:customStyle="1" w:styleId="Kop2Char">
    <w:name w:val="Kop 2 Char"/>
    <w:basedOn w:val="Standaardalinea-lettertype"/>
    <w:link w:val="Kop2"/>
    <w:uiPriority w:val="9"/>
    <w:semiHidden/>
    <w:rsid w:val="00636EA2"/>
    <w:rPr>
      <w:rFonts w:asciiTheme="majorHAnsi" w:eastAsiaTheme="majorEastAsia" w:hAnsiTheme="majorHAnsi" w:cstheme="majorBidi"/>
      <w:color w:val="0F4761" w:themeColor="accent1" w:themeShade="BF"/>
      <w:sz w:val="32"/>
      <w:szCs w:val="32"/>
    </w:rPr>
  </w:style>
  <w:style w:type="character" w:customStyle="1" w:styleId="Kop3Char">
    <w:name w:val="Kop 3 Char"/>
    <w:basedOn w:val="Standaardalinea-lettertype"/>
    <w:link w:val="Kop3"/>
    <w:uiPriority w:val="9"/>
    <w:semiHidden/>
    <w:rsid w:val="00636EA2"/>
    <w:rPr>
      <w:rFonts w:eastAsiaTheme="majorEastAsia" w:cstheme="majorBidi"/>
      <w:color w:val="0F4761" w:themeColor="accent1" w:themeShade="BF"/>
      <w:sz w:val="28"/>
      <w:szCs w:val="28"/>
    </w:rPr>
  </w:style>
  <w:style w:type="character" w:customStyle="1" w:styleId="Kop4Char">
    <w:name w:val="Kop 4 Char"/>
    <w:basedOn w:val="Standaardalinea-lettertype"/>
    <w:link w:val="Kop4"/>
    <w:uiPriority w:val="9"/>
    <w:semiHidden/>
    <w:rsid w:val="00636EA2"/>
    <w:rPr>
      <w:rFonts w:eastAsiaTheme="majorEastAsia" w:cstheme="majorBidi"/>
      <w:i/>
      <w:iCs/>
      <w:color w:val="0F4761" w:themeColor="accent1" w:themeShade="BF"/>
    </w:rPr>
  </w:style>
  <w:style w:type="character" w:customStyle="1" w:styleId="Kop5Char">
    <w:name w:val="Kop 5 Char"/>
    <w:basedOn w:val="Standaardalinea-lettertype"/>
    <w:link w:val="Kop5"/>
    <w:uiPriority w:val="9"/>
    <w:semiHidden/>
    <w:rsid w:val="00636EA2"/>
    <w:rPr>
      <w:rFonts w:eastAsiaTheme="majorEastAsia" w:cstheme="majorBidi"/>
      <w:color w:val="0F4761" w:themeColor="accent1" w:themeShade="BF"/>
    </w:rPr>
  </w:style>
  <w:style w:type="character" w:customStyle="1" w:styleId="Kop6Char">
    <w:name w:val="Kop 6 Char"/>
    <w:basedOn w:val="Standaardalinea-lettertype"/>
    <w:link w:val="Kop6"/>
    <w:uiPriority w:val="9"/>
    <w:semiHidden/>
    <w:rsid w:val="00636EA2"/>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636EA2"/>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636EA2"/>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636EA2"/>
    <w:rPr>
      <w:rFonts w:eastAsiaTheme="majorEastAsia" w:cstheme="majorBidi"/>
      <w:color w:val="272727" w:themeColor="text1" w:themeTint="D8"/>
    </w:rPr>
  </w:style>
  <w:style w:type="paragraph" w:styleId="Titel">
    <w:name w:val="Title"/>
    <w:basedOn w:val="Standaard"/>
    <w:next w:val="Standaard"/>
    <w:link w:val="TitelChar"/>
    <w:uiPriority w:val="10"/>
    <w:qFormat/>
    <w:rsid w:val="00636EA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636EA2"/>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636EA2"/>
    <w:pPr>
      <w:numPr>
        <w:ilvl w:val="1"/>
      </w:numPr>
    </w:pPr>
    <w:rPr>
      <w:rFonts w:eastAsiaTheme="majorEastAsia"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636EA2"/>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636EA2"/>
    <w:pPr>
      <w:spacing w:before="160"/>
      <w:jc w:val="center"/>
    </w:pPr>
    <w:rPr>
      <w:i/>
      <w:iCs/>
      <w:color w:val="404040" w:themeColor="text1" w:themeTint="BF"/>
    </w:rPr>
  </w:style>
  <w:style w:type="character" w:customStyle="1" w:styleId="CitaatChar">
    <w:name w:val="Citaat Char"/>
    <w:basedOn w:val="Standaardalinea-lettertype"/>
    <w:link w:val="Citaat"/>
    <w:uiPriority w:val="29"/>
    <w:rsid w:val="00636EA2"/>
    <w:rPr>
      <w:i/>
      <w:iCs/>
      <w:color w:val="404040" w:themeColor="text1" w:themeTint="BF"/>
    </w:rPr>
  </w:style>
  <w:style w:type="paragraph" w:styleId="Lijstalinea">
    <w:name w:val="List Paragraph"/>
    <w:basedOn w:val="Standaard"/>
    <w:uiPriority w:val="34"/>
    <w:qFormat/>
    <w:rsid w:val="00636EA2"/>
    <w:pPr>
      <w:ind w:left="720"/>
      <w:contextualSpacing/>
    </w:pPr>
  </w:style>
  <w:style w:type="character" w:styleId="Intensievebenadrukking">
    <w:name w:val="Intense Emphasis"/>
    <w:basedOn w:val="Standaardalinea-lettertype"/>
    <w:uiPriority w:val="21"/>
    <w:qFormat/>
    <w:rsid w:val="00636EA2"/>
    <w:rPr>
      <w:i/>
      <w:iCs/>
      <w:color w:val="0F4761" w:themeColor="accent1" w:themeShade="BF"/>
    </w:rPr>
  </w:style>
  <w:style w:type="paragraph" w:styleId="Duidelijkcitaat">
    <w:name w:val="Intense Quote"/>
    <w:basedOn w:val="Standaard"/>
    <w:next w:val="Standaard"/>
    <w:link w:val="DuidelijkcitaatChar"/>
    <w:uiPriority w:val="30"/>
    <w:qFormat/>
    <w:rsid w:val="00636EA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DuidelijkcitaatChar">
    <w:name w:val="Duidelijk citaat Char"/>
    <w:basedOn w:val="Standaardalinea-lettertype"/>
    <w:link w:val="Duidelijkcitaat"/>
    <w:uiPriority w:val="30"/>
    <w:rsid w:val="00636EA2"/>
    <w:rPr>
      <w:i/>
      <w:iCs/>
      <w:color w:val="0F4761" w:themeColor="accent1" w:themeShade="BF"/>
    </w:rPr>
  </w:style>
  <w:style w:type="character" w:styleId="Intensieveverwijzing">
    <w:name w:val="Intense Reference"/>
    <w:basedOn w:val="Standaardalinea-lettertype"/>
    <w:uiPriority w:val="32"/>
    <w:qFormat/>
    <w:rsid w:val="00636EA2"/>
    <w:rPr>
      <w:b/>
      <w:bCs/>
      <w:smallCaps/>
      <w:color w:val="0F4761" w:themeColor="accent1" w:themeShade="BF"/>
      <w:spacing w:val="5"/>
    </w:rPr>
  </w:style>
  <w:style w:type="table" w:styleId="Tabelraster">
    <w:name w:val="Table Grid"/>
    <w:basedOn w:val="Standaardtabel"/>
    <w:uiPriority w:val="99"/>
    <w:rsid w:val="00636EA2"/>
    <w:pPr>
      <w:spacing w:after="0" w:line="240" w:lineRule="auto"/>
    </w:pPr>
    <w:rPr>
      <w:rFonts w:ascii="Times New Roman" w:eastAsia="Times New Roman" w:hAnsi="Times New Roman" w:cs="Times New Roman"/>
      <w:kern w:val="0"/>
      <w:sz w:val="20"/>
      <w:szCs w:val="20"/>
      <w:lang w:eastAsia="nl-NL"/>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715243">
      <w:bodyDiv w:val="1"/>
      <w:marLeft w:val="0"/>
      <w:marRight w:val="0"/>
      <w:marTop w:val="0"/>
      <w:marBottom w:val="0"/>
      <w:divBdr>
        <w:top w:val="none" w:sz="0" w:space="0" w:color="auto"/>
        <w:left w:val="none" w:sz="0" w:space="0" w:color="auto"/>
        <w:bottom w:val="none" w:sz="0" w:space="0" w:color="auto"/>
        <w:right w:val="none" w:sz="0" w:space="0" w:color="auto"/>
      </w:divBdr>
    </w:div>
    <w:div w:id="213391294">
      <w:bodyDiv w:val="1"/>
      <w:marLeft w:val="0"/>
      <w:marRight w:val="0"/>
      <w:marTop w:val="0"/>
      <w:marBottom w:val="0"/>
      <w:divBdr>
        <w:top w:val="none" w:sz="0" w:space="0" w:color="auto"/>
        <w:left w:val="none" w:sz="0" w:space="0" w:color="auto"/>
        <w:bottom w:val="none" w:sz="0" w:space="0" w:color="auto"/>
        <w:right w:val="none" w:sz="0" w:space="0" w:color="auto"/>
      </w:divBdr>
    </w:div>
    <w:div w:id="735475610">
      <w:bodyDiv w:val="1"/>
      <w:marLeft w:val="0"/>
      <w:marRight w:val="0"/>
      <w:marTop w:val="0"/>
      <w:marBottom w:val="0"/>
      <w:divBdr>
        <w:top w:val="none" w:sz="0" w:space="0" w:color="auto"/>
        <w:left w:val="none" w:sz="0" w:space="0" w:color="auto"/>
        <w:bottom w:val="none" w:sz="0" w:space="0" w:color="auto"/>
        <w:right w:val="none" w:sz="0" w:space="0" w:color="auto"/>
      </w:divBdr>
    </w:div>
    <w:div w:id="1108818919">
      <w:bodyDiv w:val="1"/>
      <w:marLeft w:val="0"/>
      <w:marRight w:val="0"/>
      <w:marTop w:val="0"/>
      <w:marBottom w:val="0"/>
      <w:divBdr>
        <w:top w:val="none" w:sz="0" w:space="0" w:color="auto"/>
        <w:left w:val="none" w:sz="0" w:space="0" w:color="auto"/>
        <w:bottom w:val="none" w:sz="0" w:space="0" w:color="auto"/>
        <w:right w:val="none" w:sz="0" w:space="0" w:color="auto"/>
      </w:divBdr>
    </w:div>
    <w:div w:id="1350789120">
      <w:bodyDiv w:val="1"/>
      <w:marLeft w:val="0"/>
      <w:marRight w:val="0"/>
      <w:marTop w:val="0"/>
      <w:marBottom w:val="0"/>
      <w:divBdr>
        <w:top w:val="none" w:sz="0" w:space="0" w:color="auto"/>
        <w:left w:val="none" w:sz="0" w:space="0" w:color="auto"/>
        <w:bottom w:val="none" w:sz="0" w:space="0" w:color="auto"/>
        <w:right w:val="none" w:sz="0" w:space="0" w:color="auto"/>
      </w:divBdr>
    </w:div>
    <w:div w:id="1394700989">
      <w:bodyDiv w:val="1"/>
      <w:marLeft w:val="0"/>
      <w:marRight w:val="0"/>
      <w:marTop w:val="0"/>
      <w:marBottom w:val="0"/>
      <w:divBdr>
        <w:top w:val="none" w:sz="0" w:space="0" w:color="auto"/>
        <w:left w:val="none" w:sz="0" w:space="0" w:color="auto"/>
        <w:bottom w:val="none" w:sz="0" w:space="0" w:color="auto"/>
        <w:right w:val="none" w:sz="0" w:space="0" w:color="auto"/>
      </w:divBdr>
    </w:div>
    <w:div w:id="1458832412">
      <w:bodyDiv w:val="1"/>
      <w:marLeft w:val="0"/>
      <w:marRight w:val="0"/>
      <w:marTop w:val="0"/>
      <w:marBottom w:val="0"/>
      <w:divBdr>
        <w:top w:val="none" w:sz="0" w:space="0" w:color="auto"/>
        <w:left w:val="none" w:sz="0" w:space="0" w:color="auto"/>
        <w:bottom w:val="none" w:sz="0" w:space="0" w:color="auto"/>
        <w:right w:val="none" w:sz="0" w:space="0" w:color="auto"/>
      </w:divBdr>
    </w:div>
    <w:div w:id="1469594001">
      <w:bodyDiv w:val="1"/>
      <w:marLeft w:val="0"/>
      <w:marRight w:val="0"/>
      <w:marTop w:val="0"/>
      <w:marBottom w:val="0"/>
      <w:divBdr>
        <w:top w:val="none" w:sz="0" w:space="0" w:color="auto"/>
        <w:left w:val="none" w:sz="0" w:space="0" w:color="auto"/>
        <w:bottom w:val="none" w:sz="0" w:space="0" w:color="auto"/>
        <w:right w:val="none" w:sz="0" w:space="0" w:color="auto"/>
      </w:divBdr>
    </w:div>
    <w:div w:id="2059670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0946752-5514-4cff-9906-054ea5e5651f" xsi:nil="true"/>
    <lcf76f155ced4ddcb4097134ff3c332f xmlns="81d8d315-5c27-498a-814b-29eabcac6a43">
      <Terms xmlns="http://schemas.microsoft.com/office/infopath/2007/PartnerControls"/>
    </lcf76f155ced4ddcb4097134ff3c332f>
    <SharedWithUsers xmlns="00946752-5514-4cff-9906-054ea5e5651f">
      <UserInfo>
        <DisplayName/>
        <AccountId xsi:nil="true"/>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B89877EDAA77D40B0E2084F4C49E45A" ma:contentTypeVersion="15" ma:contentTypeDescription="Een nieuw document maken." ma:contentTypeScope="" ma:versionID="bef14f6ba7704c6be59688b603f133dd">
  <xsd:schema xmlns:xsd="http://www.w3.org/2001/XMLSchema" xmlns:xs="http://www.w3.org/2001/XMLSchema" xmlns:p="http://schemas.microsoft.com/office/2006/metadata/properties" xmlns:ns2="81d8d315-5c27-498a-814b-29eabcac6a43" xmlns:ns3="00946752-5514-4cff-9906-054ea5e5651f" targetNamespace="http://schemas.microsoft.com/office/2006/metadata/properties" ma:root="true" ma:fieldsID="aaf7518f1f9f9e6e1cc80cd4a74c6f82" ns2:_="" ns3:_="">
    <xsd:import namespace="81d8d315-5c27-498a-814b-29eabcac6a43"/>
    <xsd:import namespace="00946752-5514-4cff-9906-054ea5e5651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d8d315-5c27-498a-814b-29eabcac6a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Afbeeldingtags" ma:readOnly="false" ma:fieldId="{5cf76f15-5ced-4ddc-b409-7134ff3c332f}" ma:taxonomyMulti="true" ma:sspId="d002cb97-f9ae-40f4-a62f-9ee51fa9d213"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0946752-5514-4cff-9906-054ea5e5651f" elementFormDefault="qualified">
    <xsd:import namespace="http://schemas.microsoft.com/office/2006/documentManagement/types"/>
    <xsd:import namespace="http://schemas.microsoft.com/office/infopath/2007/PartnerControls"/>
    <xsd:element name="SharedWithUsers" ma:index="12" nillable="true" ma:displayName="Gedeeld met"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Gedeeld met details" ma:internalName="SharedWithDetails" ma:readOnly="true">
      <xsd:simpleType>
        <xsd:restriction base="dms:Note">
          <xsd:maxLength value="255"/>
        </xsd:restriction>
      </xsd:simpleType>
    </xsd:element>
    <xsd:element name="TaxCatchAll" ma:index="16" nillable="true" ma:displayName="Taxonomy Catch All Column" ma:hidden="true" ma:list="{023828d1-da5d-4976-9d61-cb8f73177e4b}" ma:internalName="TaxCatchAll" ma:showField="CatchAllData" ma:web="00946752-5514-4cff-9906-054ea5e5651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C95BFEA-02A2-4EB2-A768-DAFF3B3886AC}">
  <ds:schemaRefs>
    <ds:schemaRef ds:uri="81d8d315-5c27-498a-814b-29eabcac6a43"/>
    <ds:schemaRef ds:uri="http://purl.org/dc/dcmitype/"/>
    <ds:schemaRef ds:uri="http://www.w3.org/XML/1998/namespace"/>
    <ds:schemaRef ds:uri="http://schemas.microsoft.com/office/2006/metadata/properties"/>
    <ds:schemaRef ds:uri="http://schemas.microsoft.com/office/2006/documentManagement/types"/>
    <ds:schemaRef ds:uri="http://schemas.microsoft.com/office/infopath/2007/PartnerControls"/>
    <ds:schemaRef ds:uri="00946752-5514-4cff-9906-054ea5e5651f"/>
    <ds:schemaRef ds:uri="http://purl.org/dc/elements/1.1/"/>
    <ds:schemaRef ds:uri="http://purl.org/dc/terms/"/>
    <ds:schemaRef ds:uri="http://schemas.openxmlformats.org/package/2006/metadata/core-properties"/>
  </ds:schemaRefs>
</ds:datastoreItem>
</file>

<file path=customXml/itemProps2.xml><?xml version="1.0" encoding="utf-8"?>
<ds:datastoreItem xmlns:ds="http://schemas.openxmlformats.org/officeDocument/2006/customXml" ds:itemID="{28C82C77-150E-465C-8060-0FC0E882B209}">
  <ds:schemaRefs>
    <ds:schemaRef ds:uri="http://schemas.microsoft.com/sharepoint/v3/contenttype/forms"/>
  </ds:schemaRefs>
</ds:datastoreItem>
</file>

<file path=customXml/itemProps3.xml><?xml version="1.0" encoding="utf-8"?>
<ds:datastoreItem xmlns:ds="http://schemas.openxmlformats.org/officeDocument/2006/customXml" ds:itemID="{AFA1270D-7C93-460F-9E27-9E264B43C5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d8d315-5c27-498a-814b-29eabcac6a43"/>
    <ds:schemaRef ds:uri="00946752-5514-4cff-9906-054ea5e565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7f920973-6594-4ab3-af55-0bb85192461e}" enabled="0" method="" siteId="{7f920973-6594-4ab3-af55-0bb85192461e}" removed="1"/>
</clbl:labelList>
</file>

<file path=docProps/app.xml><?xml version="1.0" encoding="utf-8"?>
<Properties xmlns="http://schemas.openxmlformats.org/officeDocument/2006/extended-properties" xmlns:vt="http://schemas.openxmlformats.org/officeDocument/2006/docPropsVTypes">
  <Template>Normal</Template>
  <TotalTime>74</TotalTime>
  <Pages>3</Pages>
  <Words>742</Words>
  <Characters>4085</Characters>
  <Application>Microsoft Office Word</Application>
  <DocSecurity>0</DocSecurity>
  <Lines>34</Lines>
  <Paragraphs>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Jankipersadsing, Jain</dc:creator>
  <cp:keywords/>
  <dc:description/>
  <cp:lastModifiedBy>Steinmeier, Jelle</cp:lastModifiedBy>
  <cp:revision>12</cp:revision>
  <dcterms:created xsi:type="dcterms:W3CDTF">2025-09-21T09:54:00Z</dcterms:created>
  <dcterms:modified xsi:type="dcterms:W3CDTF">2025-09-22T09:08:00Z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0x010100CB89877EDAA77D40B0E2084F4C49E45A</vt:lpwstr>
  </property>
  <property fmtid="{D5CDD505-2E9C-101B-9397-08002B2CF9AE}" pid="3" name="Order">
    <vt:r8>386100</vt:r8>
  </property>
  <property fmtid="{D5CDD505-2E9C-101B-9397-08002B2CF9AE}" pid="4" name="TriggerFlowInfo">
    <vt:lpwstr/>
  </property>
  <property fmtid="{D5CDD505-2E9C-101B-9397-08002B2CF9AE}" pid="5" name="ComplianceAssetId">
    <vt:lpwstr/>
  </property>
  <property fmtid="{D5CDD505-2E9C-101B-9397-08002B2CF9AE}" pid="6" name="_ExtendedDescription">
    <vt:lpwstr/>
  </property>
  <property fmtid="{D5CDD505-2E9C-101B-9397-08002B2CF9AE}" pid="7" name="MediaServiceImageTags">
    <vt:lpwstr/>
  </property>
</Properties>
</file>